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2BA4" w14:textId="554910F9" w:rsidR="000D076F" w:rsidRDefault="0086385C" w:rsidP="000D076F">
      <w:pPr>
        <w:jc w:val="center"/>
        <w:rPr>
          <w:sz w:val="28"/>
          <w:szCs w:val="28"/>
          <w:u w:val="single"/>
        </w:rPr>
      </w:pPr>
      <w:r>
        <w:rPr>
          <w:sz w:val="28"/>
          <w:szCs w:val="28"/>
          <w:u w:val="single"/>
        </w:rPr>
        <w:t>EYFS</w:t>
      </w:r>
      <w:r w:rsidR="000D076F" w:rsidRPr="002730FB">
        <w:rPr>
          <w:sz w:val="28"/>
          <w:szCs w:val="28"/>
          <w:u w:val="single"/>
        </w:rPr>
        <w:t xml:space="preserve"> – Home Learning Maths</w:t>
      </w:r>
    </w:p>
    <w:p w14:paraId="01194646" w14:textId="6E2A1044" w:rsidR="000D076F" w:rsidRDefault="000D076F" w:rsidP="00207F0A">
      <w:pPr>
        <w:jc w:val="center"/>
        <w:rPr>
          <w:sz w:val="28"/>
          <w:szCs w:val="28"/>
          <w:u w:val="single"/>
        </w:rPr>
      </w:pPr>
      <w:r>
        <w:rPr>
          <w:sz w:val="28"/>
          <w:szCs w:val="28"/>
          <w:u w:val="single"/>
        </w:rPr>
        <w:t xml:space="preserve">Week Commencing: </w:t>
      </w:r>
      <w:r w:rsidR="00F4617E">
        <w:rPr>
          <w:sz w:val="28"/>
          <w:szCs w:val="28"/>
          <w:u w:val="single"/>
        </w:rPr>
        <w:t>2</w:t>
      </w:r>
      <w:r w:rsidR="00755326">
        <w:rPr>
          <w:sz w:val="28"/>
          <w:szCs w:val="28"/>
          <w:u w:val="single"/>
        </w:rPr>
        <w:t>9</w:t>
      </w:r>
      <w:r>
        <w:rPr>
          <w:sz w:val="28"/>
          <w:szCs w:val="28"/>
          <w:u w:val="single"/>
        </w:rPr>
        <w:t xml:space="preserve"> </w:t>
      </w:r>
      <w:r w:rsidR="0033604E">
        <w:rPr>
          <w:sz w:val="28"/>
          <w:szCs w:val="28"/>
          <w:u w:val="single"/>
        </w:rPr>
        <w:t>June</w:t>
      </w:r>
      <w:r>
        <w:rPr>
          <w:sz w:val="28"/>
          <w:szCs w:val="28"/>
          <w:u w:val="single"/>
        </w:rPr>
        <w:t xml:space="preserve"> 2020</w:t>
      </w:r>
    </w:p>
    <w:p w14:paraId="33535CE3" w14:textId="1A124EF4" w:rsidR="00AA6150" w:rsidRPr="00AA6150" w:rsidRDefault="00AA6150" w:rsidP="00AA6150">
      <w:pPr>
        <w:rPr>
          <w:sz w:val="28"/>
          <w:szCs w:val="28"/>
        </w:rPr>
      </w:pPr>
    </w:p>
    <w:tbl>
      <w:tblPr>
        <w:tblStyle w:val="TableGrid"/>
        <w:tblW w:w="10490" w:type="dxa"/>
        <w:tblInd w:w="-714" w:type="dxa"/>
        <w:tblLook w:val="04A0" w:firstRow="1" w:lastRow="0" w:firstColumn="1" w:lastColumn="0" w:noHBand="0" w:noVBand="1"/>
      </w:tblPr>
      <w:tblGrid>
        <w:gridCol w:w="2977"/>
        <w:gridCol w:w="7513"/>
      </w:tblGrid>
      <w:tr w:rsidR="00331825" w14:paraId="1236B28D" w14:textId="77777777" w:rsidTr="00060818">
        <w:tc>
          <w:tcPr>
            <w:tcW w:w="2977" w:type="dxa"/>
          </w:tcPr>
          <w:p w14:paraId="08F9A4C7" w14:textId="77777777" w:rsidR="00F4617E" w:rsidRDefault="00F4617E" w:rsidP="00F4617E">
            <w:pPr>
              <w:pStyle w:val="ListParagraph"/>
              <w:ind w:left="0"/>
              <w:rPr>
                <w:sz w:val="24"/>
                <w:szCs w:val="24"/>
              </w:rPr>
            </w:pPr>
          </w:p>
          <w:p w14:paraId="5DE74EEB" w14:textId="356D7A5F" w:rsidR="00F4617E" w:rsidRPr="00AA6150" w:rsidRDefault="002725DE" w:rsidP="00F4617E">
            <w:pPr>
              <w:pStyle w:val="ListParagraph"/>
              <w:ind w:left="0"/>
              <w:rPr>
                <w:sz w:val="24"/>
                <w:szCs w:val="24"/>
              </w:rPr>
            </w:pPr>
            <w:r>
              <w:rPr>
                <w:rFonts w:ascii="Arial" w:eastAsia="Batang" w:hAnsi="Arial" w:cs="Arial"/>
                <w:sz w:val="20"/>
                <w:szCs w:val="20"/>
              </w:rPr>
              <w:t xml:space="preserve">Counting to 20 and beyond </w:t>
            </w:r>
          </w:p>
        </w:tc>
        <w:tc>
          <w:tcPr>
            <w:tcW w:w="7513" w:type="dxa"/>
          </w:tcPr>
          <w:p w14:paraId="562BA996" w14:textId="77777777" w:rsidR="002725DE" w:rsidRDefault="002725DE" w:rsidP="002725DE">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 xml:space="preserve">Provide opportunities for children to count beyond 20 and opportunities for them to match them to quantities. </w:t>
            </w:r>
          </w:p>
          <w:p w14:paraId="6415D02F" w14:textId="77777777" w:rsidR="002725DE" w:rsidRDefault="002725DE" w:rsidP="002725DE">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Prompt children to recognize that as we count each number relates to an object and is one more than the number before. This shows the relationship of numbers getting bigger relating to there being more objects.</w:t>
            </w:r>
          </w:p>
          <w:p w14:paraId="33E07C1B" w14:textId="77777777" w:rsidR="002725DE" w:rsidRDefault="002725DE" w:rsidP="002725DE">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Play lots of counting games and sing counting songs. I.E. Making a lighthouse out of bricks where each player can have 50 bricks to work with, where everyone has to count out their own 50 bricks… Singing ’30 bottles of milk on the wall’ will help learning to count backwards from 30.</w:t>
            </w:r>
          </w:p>
          <w:p w14:paraId="4605FA44" w14:textId="77777777" w:rsidR="002725DE" w:rsidRDefault="002725DE" w:rsidP="002725DE">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Cut up number cards and have the children put them into the correct numerical order, then have a go at doing it backwards.</w:t>
            </w:r>
          </w:p>
          <w:p w14:paraId="03C9BC30" w14:textId="77777777" w:rsidR="005B64B7" w:rsidRDefault="002725DE" w:rsidP="002725DE">
            <w:pPr>
              <w:pStyle w:val="ListParagraph"/>
              <w:spacing w:after="0" w:line="240" w:lineRule="auto"/>
              <w:ind w:left="360"/>
              <w:rPr>
                <w:rFonts w:ascii="Arial" w:eastAsia="Batang" w:hAnsi="Arial" w:cs="Arial"/>
                <w:sz w:val="20"/>
                <w:szCs w:val="20"/>
              </w:rPr>
            </w:pPr>
            <w:r>
              <w:rPr>
                <w:rFonts w:ascii="Arial" w:eastAsia="Batang" w:hAnsi="Arial" w:cs="Arial"/>
                <w:sz w:val="20"/>
                <w:szCs w:val="20"/>
              </w:rPr>
              <w:t>Say a number sequence missing out a number or saying the numbers incorrectly and see if they can spot the mistake</w:t>
            </w:r>
            <w:r w:rsidR="00060818">
              <w:rPr>
                <w:rFonts w:ascii="Arial" w:eastAsia="Batang" w:hAnsi="Arial" w:cs="Arial"/>
                <w:sz w:val="20"/>
                <w:szCs w:val="20"/>
              </w:rPr>
              <w:t>.</w:t>
            </w:r>
          </w:p>
          <w:p w14:paraId="7107CD6D" w14:textId="77777777" w:rsidR="00060818" w:rsidRDefault="00060818" w:rsidP="00060818">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 xml:space="preserve">Have cards with numbers and another set with objects can the match the number card to the object card? Who can do the most correctly wins? Count the objects to make sure it is the correct card. </w:t>
            </w:r>
          </w:p>
          <w:p w14:paraId="3C0E78A2" w14:textId="6D4531A9" w:rsidR="00060818" w:rsidRPr="0033604E" w:rsidRDefault="00060818" w:rsidP="002725DE">
            <w:pPr>
              <w:pStyle w:val="ListParagraph"/>
              <w:spacing w:after="0" w:line="240" w:lineRule="auto"/>
              <w:ind w:left="360"/>
              <w:rPr>
                <w:szCs w:val="24"/>
              </w:rPr>
            </w:pPr>
          </w:p>
        </w:tc>
      </w:tr>
      <w:tr w:rsidR="008B4848" w14:paraId="1F3BFEA8" w14:textId="77777777" w:rsidTr="00060818">
        <w:tc>
          <w:tcPr>
            <w:tcW w:w="2977" w:type="dxa"/>
          </w:tcPr>
          <w:p w14:paraId="75D0030F" w14:textId="77777777" w:rsidR="00F4617E" w:rsidRDefault="00F4617E" w:rsidP="00F4617E">
            <w:pPr>
              <w:pStyle w:val="ListParagraph"/>
              <w:ind w:left="0"/>
              <w:rPr>
                <w:rFonts w:ascii="Arial" w:eastAsia="Batang" w:hAnsi="Arial" w:cs="Arial"/>
                <w:sz w:val="20"/>
                <w:szCs w:val="20"/>
              </w:rPr>
            </w:pPr>
          </w:p>
          <w:p w14:paraId="6E939707" w14:textId="0E157006" w:rsidR="00F4617E" w:rsidRDefault="002725DE" w:rsidP="00F4617E">
            <w:pPr>
              <w:pStyle w:val="ListParagraph"/>
              <w:ind w:left="0"/>
              <w:rPr>
                <w:sz w:val="24"/>
                <w:szCs w:val="24"/>
              </w:rPr>
            </w:pPr>
            <w:r>
              <w:rPr>
                <w:rFonts w:ascii="Arial" w:eastAsia="Batang" w:hAnsi="Arial" w:cs="Arial"/>
                <w:sz w:val="20"/>
                <w:szCs w:val="20"/>
              </w:rPr>
              <w:t xml:space="preserve">Partitioning - Start to think about breaking down a number into its Tens and Ones </w:t>
            </w:r>
          </w:p>
          <w:p w14:paraId="719A0132" w14:textId="410E54D5" w:rsidR="008B4848" w:rsidRPr="00EC1A21" w:rsidRDefault="008B4848" w:rsidP="00EC1A21">
            <w:pPr>
              <w:rPr>
                <w:sz w:val="24"/>
                <w:szCs w:val="24"/>
              </w:rPr>
            </w:pPr>
          </w:p>
        </w:tc>
        <w:tc>
          <w:tcPr>
            <w:tcW w:w="7513" w:type="dxa"/>
          </w:tcPr>
          <w:p w14:paraId="4461ABA9" w14:textId="77777777" w:rsidR="00060818" w:rsidRPr="00076162" w:rsidRDefault="00060818" w:rsidP="00060818">
            <w:pPr>
              <w:pStyle w:val="ListParagraph"/>
              <w:numPr>
                <w:ilvl w:val="0"/>
                <w:numId w:val="7"/>
              </w:numPr>
              <w:spacing w:after="0" w:line="240" w:lineRule="auto"/>
              <w:rPr>
                <w:rFonts w:ascii="Arial" w:eastAsia="Batang" w:hAnsi="Arial" w:cs="Arial"/>
                <w:sz w:val="20"/>
                <w:szCs w:val="20"/>
                <w:lang w:val="en-US"/>
              </w:rPr>
            </w:pPr>
            <w:r w:rsidRPr="00076162">
              <w:rPr>
                <w:rFonts w:ascii="Arial" w:eastAsia="Batang" w:hAnsi="Arial" w:cs="Arial"/>
                <w:sz w:val="20"/>
                <w:szCs w:val="20"/>
              </w:rPr>
              <w:t xml:space="preserve">Start to work on partitioning into Tens and Ones. </w:t>
            </w:r>
          </w:p>
          <w:p w14:paraId="72034B55" w14:textId="77777777" w:rsidR="00060818" w:rsidRDefault="00060818" w:rsidP="00060818">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 xml:space="preserve">You can encourage children to represent numbers in different ways using various objects in groups of 10 with the ones left over. This helps with counting larger groups of items/objects. </w:t>
            </w:r>
          </w:p>
          <w:p w14:paraId="036DED06" w14:textId="77777777" w:rsidR="00060818" w:rsidRDefault="00060818" w:rsidP="00060818">
            <w:pPr>
              <w:pStyle w:val="ListParagraph"/>
              <w:numPr>
                <w:ilvl w:val="0"/>
                <w:numId w:val="7"/>
              </w:numPr>
              <w:spacing w:after="0" w:line="240" w:lineRule="auto"/>
              <w:rPr>
                <w:rFonts w:ascii="Arial" w:eastAsia="Batang" w:hAnsi="Arial" w:cs="Arial"/>
                <w:sz w:val="20"/>
                <w:szCs w:val="20"/>
              </w:rPr>
            </w:pPr>
            <w:r>
              <w:rPr>
                <w:rFonts w:ascii="Arial" w:eastAsia="Batang" w:hAnsi="Arial" w:cs="Arial"/>
                <w:sz w:val="20"/>
                <w:szCs w:val="20"/>
              </w:rPr>
              <w:t>If you have a large collection of things, have the children guess or estimate how many there are. Then they can count to see if they were correct. You can use shells, buttons, beads, pebbles….</w:t>
            </w:r>
          </w:p>
          <w:p w14:paraId="3C2CD6DF" w14:textId="65F31616" w:rsidR="00F4617E" w:rsidRPr="00F4617E" w:rsidRDefault="00F4617E" w:rsidP="00F4617E">
            <w:pPr>
              <w:spacing w:after="0" w:line="240" w:lineRule="auto"/>
              <w:rPr>
                <w:rFonts w:ascii="Arial" w:eastAsia="Batang" w:hAnsi="Arial" w:cs="Arial"/>
                <w:sz w:val="20"/>
                <w:szCs w:val="20"/>
              </w:rPr>
            </w:pPr>
          </w:p>
        </w:tc>
      </w:tr>
    </w:tbl>
    <w:p w14:paraId="52207BCC" w14:textId="3ADAF182" w:rsidR="000D076F" w:rsidRDefault="000D076F" w:rsidP="003D5132"/>
    <w:sectPr w:rsidR="000D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37FE1"/>
    <w:multiLevelType w:val="hybridMultilevel"/>
    <w:tmpl w:val="29867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E73434"/>
    <w:multiLevelType w:val="hybridMultilevel"/>
    <w:tmpl w:val="8AE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60818"/>
    <w:rsid w:val="000D076F"/>
    <w:rsid w:val="001062FC"/>
    <w:rsid w:val="00207F0A"/>
    <w:rsid w:val="002469DF"/>
    <w:rsid w:val="002725DE"/>
    <w:rsid w:val="002C3514"/>
    <w:rsid w:val="00310DEB"/>
    <w:rsid w:val="00331825"/>
    <w:rsid w:val="0033604E"/>
    <w:rsid w:val="00351059"/>
    <w:rsid w:val="003D5132"/>
    <w:rsid w:val="004C1E9D"/>
    <w:rsid w:val="004D0BCF"/>
    <w:rsid w:val="005B64B7"/>
    <w:rsid w:val="005F527B"/>
    <w:rsid w:val="00755326"/>
    <w:rsid w:val="00763E68"/>
    <w:rsid w:val="00846D17"/>
    <w:rsid w:val="008548E9"/>
    <w:rsid w:val="0086385C"/>
    <w:rsid w:val="008B4848"/>
    <w:rsid w:val="00993B28"/>
    <w:rsid w:val="00995025"/>
    <w:rsid w:val="00A46094"/>
    <w:rsid w:val="00AA6150"/>
    <w:rsid w:val="00AB6BD1"/>
    <w:rsid w:val="00B540B7"/>
    <w:rsid w:val="00BA2A5A"/>
    <w:rsid w:val="00CB0A6F"/>
    <w:rsid w:val="00CE556C"/>
    <w:rsid w:val="00D878FD"/>
    <w:rsid w:val="00E77EA9"/>
    <w:rsid w:val="00EC1A21"/>
    <w:rsid w:val="00EE1552"/>
    <w:rsid w:val="00F374E0"/>
    <w:rsid w:val="00F43C26"/>
    <w:rsid w:val="00F4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 w:type="paragraph" w:styleId="Header">
    <w:name w:val="header"/>
    <w:basedOn w:val="Normal"/>
    <w:link w:val="HeaderChar"/>
    <w:uiPriority w:val="99"/>
    <w:unhideWhenUsed/>
    <w:rsid w:val="002725DE"/>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72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2</cp:revision>
  <cp:lastPrinted>2020-06-10T08:45:00Z</cp:lastPrinted>
  <dcterms:created xsi:type="dcterms:W3CDTF">2020-06-17T15:15:00Z</dcterms:created>
  <dcterms:modified xsi:type="dcterms:W3CDTF">2020-06-17T15:15:00Z</dcterms:modified>
</cp:coreProperties>
</file>